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2EBA1" w14:textId="5219AD39" w:rsidR="006557EA" w:rsidRPr="006557EA" w:rsidRDefault="00DD55A1" w:rsidP="006557EA">
      <w:pPr>
        <w:rPr>
          <w:b/>
          <w:bCs/>
        </w:rPr>
      </w:pPr>
      <w:r>
        <w:rPr>
          <w:noProof/>
        </w:rPr>
        <w:drawing>
          <wp:inline distT="0" distB="0" distL="0" distR="0" wp14:anchorId="0F2A218C" wp14:editId="3E173CDF">
            <wp:extent cx="5247640" cy="1838960"/>
            <wp:effectExtent l="0" t="0" r="0" b="8890"/>
            <wp:docPr id="1894112605" name="Picture 1" descr="A couple of word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12605" name="Picture 1" descr="A couple of words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7640" cy="1838960"/>
                    </a:xfrm>
                    <a:prstGeom prst="rect">
                      <a:avLst/>
                    </a:prstGeom>
                    <a:noFill/>
                    <a:ln>
                      <a:noFill/>
                    </a:ln>
                  </pic:spPr>
                </pic:pic>
              </a:graphicData>
            </a:graphic>
          </wp:inline>
        </w:drawing>
      </w:r>
      <w:r w:rsidR="006557EA" w:rsidRPr="006557EA">
        <w:rPr>
          <w:b/>
          <w:bCs/>
          <w:sz w:val="96"/>
          <w:szCs w:val="96"/>
        </w:rPr>
        <w:t>Whistleblowing Policy</w:t>
      </w:r>
    </w:p>
    <w:p w14:paraId="5FA64AA4" w14:textId="77777777" w:rsidR="006557EA" w:rsidRPr="006557EA" w:rsidRDefault="006557EA" w:rsidP="006557EA">
      <w:pPr>
        <w:rPr>
          <w:b/>
          <w:bCs/>
        </w:rPr>
      </w:pPr>
      <w:r w:rsidRPr="006557EA">
        <w:rPr>
          <w:b/>
          <w:bCs/>
        </w:rPr>
        <w:t>1. Introduction</w:t>
      </w:r>
    </w:p>
    <w:p w14:paraId="098A568A" w14:textId="4242BED6" w:rsidR="006557EA" w:rsidRPr="006557EA" w:rsidRDefault="006557EA" w:rsidP="006557EA">
      <w:r w:rsidRPr="006557EA">
        <w:t xml:space="preserve">1.1 At </w:t>
      </w:r>
      <w:r>
        <w:t>Tushingham and Shocklach CE Primary Schools</w:t>
      </w:r>
      <w:r w:rsidRPr="006557EA">
        <w:t>, we are committed to the highest standards of openness, probity and accountability. All members of our school community — including employees, Governors, contractors, suppliers and consultants — are encouraged to raise concerns about any aspect of the school’s work without fear of victimisation, discrimination or disadvantage.</w:t>
      </w:r>
    </w:p>
    <w:p w14:paraId="1B26A142" w14:textId="77777777" w:rsidR="006557EA" w:rsidRPr="006557EA" w:rsidRDefault="006557EA" w:rsidP="006557EA">
      <w:r w:rsidRPr="006557EA">
        <w:t>1.2 We recognise that you may feel nervous about raising concerns. You may worry about damaging relationships or facing reprisals. This policy is designed to give you the confidence to speak up, knowing your concerns will be taken seriously and handled confidentially.</w:t>
      </w:r>
    </w:p>
    <w:p w14:paraId="34053280" w14:textId="77777777" w:rsidR="006557EA" w:rsidRPr="006557EA" w:rsidRDefault="006557EA" w:rsidP="006557EA">
      <w:r w:rsidRPr="006557EA">
        <w:t>1.3 These procedures are intended to encourage and enable you to raise serious concerns within the school rather than overlooking a problem or reporting externally before the school has had a chance to respond.</w:t>
      </w:r>
    </w:p>
    <w:p w14:paraId="466F23F4" w14:textId="77777777" w:rsidR="006557EA" w:rsidRPr="006557EA" w:rsidRDefault="00CE3D54" w:rsidP="006557EA">
      <w:r>
        <w:pict w14:anchorId="54EF89B9">
          <v:rect id="_x0000_i1025" style="width:0;height:1.5pt" o:hralign="center" o:hrstd="t" o:hr="t" fillcolor="#a0a0a0" stroked="f"/>
        </w:pict>
      </w:r>
    </w:p>
    <w:p w14:paraId="30C31E1C" w14:textId="77777777" w:rsidR="006557EA" w:rsidRPr="006557EA" w:rsidRDefault="006557EA" w:rsidP="006557EA">
      <w:pPr>
        <w:rPr>
          <w:b/>
          <w:bCs/>
        </w:rPr>
      </w:pPr>
      <w:r w:rsidRPr="006557EA">
        <w:rPr>
          <w:b/>
          <w:bCs/>
        </w:rPr>
        <w:t>2. Purpose and Scope</w:t>
      </w:r>
    </w:p>
    <w:p w14:paraId="4866E32D" w14:textId="77777777" w:rsidR="006557EA" w:rsidRPr="006557EA" w:rsidRDefault="006557EA" w:rsidP="006557EA">
      <w:r w:rsidRPr="006557EA">
        <w:t>2.1 This policy provides a secure framework for reporting suspicions of malpractice. It applies to all employees, Governors, contractors, suppliers and consultants working with the school.</w:t>
      </w:r>
    </w:p>
    <w:p w14:paraId="2E26085F" w14:textId="77777777" w:rsidR="006557EA" w:rsidRPr="006557EA" w:rsidRDefault="006557EA" w:rsidP="006557EA">
      <w:r w:rsidRPr="006557EA">
        <w:t>2.2 It covers concerns that may be:</w:t>
      </w:r>
    </w:p>
    <w:p w14:paraId="041BE1E2" w14:textId="77777777" w:rsidR="006557EA" w:rsidRPr="006557EA" w:rsidRDefault="006557EA" w:rsidP="006557EA">
      <w:pPr>
        <w:numPr>
          <w:ilvl w:val="0"/>
          <w:numId w:val="1"/>
        </w:numPr>
      </w:pPr>
      <w:proofErr w:type="gramStart"/>
      <w:r w:rsidRPr="006557EA">
        <w:t>unlawful;</w:t>
      </w:r>
      <w:proofErr w:type="gramEnd"/>
    </w:p>
    <w:p w14:paraId="3CB54583" w14:textId="77777777" w:rsidR="006557EA" w:rsidRPr="006557EA" w:rsidRDefault="006557EA" w:rsidP="006557EA">
      <w:pPr>
        <w:numPr>
          <w:ilvl w:val="0"/>
          <w:numId w:val="1"/>
        </w:numPr>
      </w:pPr>
      <w:r w:rsidRPr="006557EA">
        <w:t xml:space="preserve">a breach of the school’s </w:t>
      </w:r>
      <w:proofErr w:type="gramStart"/>
      <w:r w:rsidRPr="006557EA">
        <w:t>policies;</w:t>
      </w:r>
      <w:proofErr w:type="gramEnd"/>
    </w:p>
    <w:p w14:paraId="11388517" w14:textId="77777777" w:rsidR="006557EA" w:rsidRPr="006557EA" w:rsidRDefault="006557EA" w:rsidP="006557EA">
      <w:pPr>
        <w:numPr>
          <w:ilvl w:val="0"/>
          <w:numId w:val="1"/>
        </w:numPr>
      </w:pPr>
      <w:r w:rsidRPr="006557EA">
        <w:t xml:space="preserve">improper conduct or </w:t>
      </w:r>
      <w:proofErr w:type="gramStart"/>
      <w:r w:rsidRPr="006557EA">
        <w:t>malpractice;</w:t>
      </w:r>
      <w:proofErr w:type="gramEnd"/>
    </w:p>
    <w:p w14:paraId="4056764F" w14:textId="77777777" w:rsidR="006557EA" w:rsidRPr="006557EA" w:rsidRDefault="006557EA" w:rsidP="006557EA">
      <w:pPr>
        <w:numPr>
          <w:ilvl w:val="0"/>
          <w:numId w:val="1"/>
        </w:numPr>
      </w:pPr>
      <w:r w:rsidRPr="006557EA">
        <w:t xml:space="preserve">a danger to health, safety or the </w:t>
      </w:r>
      <w:proofErr w:type="gramStart"/>
      <w:r w:rsidRPr="006557EA">
        <w:t>environment;</w:t>
      </w:r>
      <w:proofErr w:type="gramEnd"/>
    </w:p>
    <w:p w14:paraId="50057BF5" w14:textId="77777777" w:rsidR="006557EA" w:rsidRPr="006557EA" w:rsidRDefault="006557EA" w:rsidP="006557EA">
      <w:pPr>
        <w:numPr>
          <w:ilvl w:val="0"/>
          <w:numId w:val="1"/>
        </w:numPr>
      </w:pPr>
      <w:r w:rsidRPr="006557EA">
        <w:t xml:space="preserve">misuse of public </w:t>
      </w:r>
      <w:proofErr w:type="gramStart"/>
      <w:r w:rsidRPr="006557EA">
        <w:t>funds;</w:t>
      </w:r>
      <w:proofErr w:type="gramEnd"/>
    </w:p>
    <w:p w14:paraId="7D7135E0" w14:textId="77777777" w:rsidR="006557EA" w:rsidRPr="006557EA" w:rsidRDefault="006557EA" w:rsidP="006557EA">
      <w:pPr>
        <w:numPr>
          <w:ilvl w:val="0"/>
          <w:numId w:val="1"/>
        </w:numPr>
      </w:pPr>
      <w:r w:rsidRPr="006557EA">
        <w:t xml:space="preserve">fraud, corruption, or cover-ups of </w:t>
      </w:r>
      <w:proofErr w:type="gramStart"/>
      <w:r w:rsidRPr="006557EA">
        <w:t>wrongdoing;</w:t>
      </w:r>
      <w:proofErr w:type="gramEnd"/>
    </w:p>
    <w:p w14:paraId="7B2CC456" w14:textId="796DDECB" w:rsidR="006557EA" w:rsidRPr="006557EA" w:rsidRDefault="006557EA" w:rsidP="006557EA">
      <w:pPr>
        <w:numPr>
          <w:ilvl w:val="0"/>
          <w:numId w:val="1"/>
        </w:numPr>
      </w:pPr>
      <w:r w:rsidRPr="006557EA">
        <w:t>abuse (</w:t>
      </w:r>
      <w:proofErr w:type="spellStart"/>
      <w:r>
        <w:t>eg</w:t>
      </w:r>
      <w:proofErr w:type="spellEnd"/>
      <w:r>
        <w:t xml:space="preserve"> </w:t>
      </w:r>
      <w:r w:rsidRPr="006557EA">
        <w:t>sexual, physical, financial).</w:t>
      </w:r>
    </w:p>
    <w:p w14:paraId="7F752215" w14:textId="55049ACE" w:rsidR="006557EA" w:rsidRPr="006557EA" w:rsidRDefault="006557EA" w:rsidP="006557EA">
      <w:r w:rsidRPr="006557EA">
        <w:lastRenderedPageBreak/>
        <w:t xml:space="preserve">2.3 This policy supplements, rather than replaces, other school procedures (e.g. </w:t>
      </w:r>
      <w:r>
        <w:t xml:space="preserve">code of conduct, </w:t>
      </w:r>
      <w:r w:rsidRPr="006557EA">
        <w:t>dignity at work</w:t>
      </w:r>
      <w:r>
        <w:t>, allegations against staff, grievance</w:t>
      </w:r>
      <w:r w:rsidRPr="006557EA">
        <w:t>). It is not designed for individual employment issues unless they involve malpractice in the wider public interest.</w:t>
      </w:r>
    </w:p>
    <w:p w14:paraId="4BA96FCC" w14:textId="77777777" w:rsidR="006557EA" w:rsidRPr="006557EA" w:rsidRDefault="00CE3D54" w:rsidP="006557EA">
      <w:r>
        <w:pict w14:anchorId="04836A55">
          <v:rect id="_x0000_i1026" style="width:0;height:1.5pt" o:hralign="center" o:hrstd="t" o:hr="t" fillcolor="#a0a0a0" stroked="f"/>
        </w:pict>
      </w:r>
    </w:p>
    <w:p w14:paraId="3E32BBCD" w14:textId="77777777" w:rsidR="006557EA" w:rsidRPr="006557EA" w:rsidRDefault="006557EA" w:rsidP="006557EA">
      <w:pPr>
        <w:rPr>
          <w:b/>
          <w:bCs/>
        </w:rPr>
      </w:pPr>
      <w:r w:rsidRPr="006557EA">
        <w:rPr>
          <w:b/>
          <w:bCs/>
        </w:rPr>
        <w:t>3. Legislative Framework</w:t>
      </w:r>
    </w:p>
    <w:p w14:paraId="3B5B8762" w14:textId="77777777" w:rsidR="006557EA" w:rsidRPr="006557EA" w:rsidRDefault="006557EA" w:rsidP="006557EA">
      <w:r w:rsidRPr="006557EA">
        <w:t xml:space="preserve">3.1 This policy </w:t>
      </w:r>
      <w:proofErr w:type="gramStart"/>
      <w:r w:rsidRPr="006557EA">
        <w:t>takes into account</w:t>
      </w:r>
      <w:proofErr w:type="gramEnd"/>
      <w:r w:rsidRPr="006557EA">
        <w:t xml:space="preserve"> the </w:t>
      </w:r>
      <w:r w:rsidRPr="006557EA">
        <w:rPr>
          <w:b/>
          <w:bCs/>
        </w:rPr>
        <w:t>Public Interest Disclosure Act 1998</w:t>
      </w:r>
      <w:r w:rsidRPr="006557EA">
        <w:t>, which protects employees who disclose concerns in the public interest, provided they act in good faith and have reasonable belief in the information disclosed.</w:t>
      </w:r>
    </w:p>
    <w:p w14:paraId="41658142" w14:textId="77777777" w:rsidR="006557EA" w:rsidRPr="006557EA" w:rsidRDefault="00CE3D54" w:rsidP="006557EA">
      <w:r>
        <w:pict w14:anchorId="4092F67A">
          <v:rect id="_x0000_i1027" style="width:0;height:1.5pt" o:hralign="center" o:hrstd="t" o:hr="t" fillcolor="#a0a0a0" stroked="f"/>
        </w:pict>
      </w:r>
    </w:p>
    <w:p w14:paraId="6E1CA5D4" w14:textId="77777777" w:rsidR="006557EA" w:rsidRPr="006557EA" w:rsidRDefault="006557EA" w:rsidP="006557EA">
      <w:pPr>
        <w:rPr>
          <w:b/>
          <w:bCs/>
        </w:rPr>
      </w:pPr>
      <w:r w:rsidRPr="006557EA">
        <w:rPr>
          <w:b/>
          <w:bCs/>
        </w:rPr>
        <w:t>4. Safeguards</w:t>
      </w:r>
    </w:p>
    <w:p w14:paraId="5C12A296" w14:textId="77777777" w:rsidR="006557EA" w:rsidRPr="006557EA" w:rsidRDefault="006557EA" w:rsidP="006557EA">
      <w:pPr>
        <w:rPr>
          <w:b/>
          <w:bCs/>
        </w:rPr>
      </w:pPr>
      <w:r w:rsidRPr="006557EA">
        <w:rPr>
          <w:b/>
          <w:bCs/>
        </w:rPr>
        <w:t>Harassment or Victimisation</w:t>
      </w:r>
    </w:p>
    <w:p w14:paraId="51F435F9" w14:textId="77777777" w:rsidR="006557EA" w:rsidRPr="006557EA" w:rsidRDefault="006557EA" w:rsidP="006557EA">
      <w:r w:rsidRPr="006557EA">
        <w:t>4.1 The school will not tolerate harassment or victimisation of anyone raising a concern in good faith.</w:t>
      </w:r>
    </w:p>
    <w:p w14:paraId="20C7775D" w14:textId="77777777" w:rsidR="006557EA" w:rsidRPr="006557EA" w:rsidRDefault="006557EA" w:rsidP="006557EA">
      <w:pPr>
        <w:rPr>
          <w:b/>
          <w:bCs/>
        </w:rPr>
      </w:pPr>
      <w:r w:rsidRPr="006557EA">
        <w:rPr>
          <w:b/>
          <w:bCs/>
        </w:rPr>
        <w:t>Confidentiality</w:t>
      </w:r>
    </w:p>
    <w:p w14:paraId="1F3ADF76" w14:textId="77777777" w:rsidR="006557EA" w:rsidRPr="006557EA" w:rsidRDefault="006557EA" w:rsidP="006557EA">
      <w:r w:rsidRPr="006557EA">
        <w:t>4.2 The school will protect your identity if requested, although the investigation may reveal the source of information and you may be asked to provide a statement as evidence.</w:t>
      </w:r>
    </w:p>
    <w:p w14:paraId="309B7FF2" w14:textId="77777777" w:rsidR="006557EA" w:rsidRPr="006557EA" w:rsidRDefault="006557EA" w:rsidP="006557EA">
      <w:pPr>
        <w:rPr>
          <w:b/>
          <w:bCs/>
        </w:rPr>
      </w:pPr>
      <w:r w:rsidRPr="006557EA">
        <w:rPr>
          <w:b/>
          <w:bCs/>
        </w:rPr>
        <w:t>Anonymous Allegations</w:t>
      </w:r>
    </w:p>
    <w:p w14:paraId="588824BB" w14:textId="77777777" w:rsidR="006557EA" w:rsidRPr="006557EA" w:rsidRDefault="006557EA" w:rsidP="006557EA">
      <w:r w:rsidRPr="006557EA">
        <w:t xml:space="preserve">4.3 Anonymous allegations will be considered at the school’s discretion, </w:t>
      </w:r>
      <w:proofErr w:type="gramStart"/>
      <w:r w:rsidRPr="006557EA">
        <w:t>taking into account</w:t>
      </w:r>
      <w:proofErr w:type="gramEnd"/>
      <w:r w:rsidRPr="006557EA">
        <w:t>:</w:t>
      </w:r>
    </w:p>
    <w:p w14:paraId="79F5EE26" w14:textId="77777777" w:rsidR="006557EA" w:rsidRPr="006557EA" w:rsidRDefault="006557EA" w:rsidP="006557EA">
      <w:pPr>
        <w:numPr>
          <w:ilvl w:val="0"/>
          <w:numId w:val="2"/>
        </w:numPr>
      </w:pPr>
      <w:r w:rsidRPr="006557EA">
        <w:t xml:space="preserve">the seriousness of the </w:t>
      </w:r>
      <w:proofErr w:type="gramStart"/>
      <w:r w:rsidRPr="006557EA">
        <w:t>concern;</w:t>
      </w:r>
      <w:proofErr w:type="gramEnd"/>
    </w:p>
    <w:p w14:paraId="6ABE2E4C" w14:textId="77777777" w:rsidR="006557EA" w:rsidRPr="006557EA" w:rsidRDefault="006557EA" w:rsidP="006557EA">
      <w:pPr>
        <w:numPr>
          <w:ilvl w:val="0"/>
          <w:numId w:val="2"/>
        </w:numPr>
      </w:pPr>
      <w:r w:rsidRPr="006557EA">
        <w:t xml:space="preserve">the credibility of the </w:t>
      </w:r>
      <w:proofErr w:type="gramStart"/>
      <w:r w:rsidRPr="006557EA">
        <w:t>concern;</w:t>
      </w:r>
      <w:proofErr w:type="gramEnd"/>
    </w:p>
    <w:p w14:paraId="1D031B9D" w14:textId="77777777" w:rsidR="006557EA" w:rsidRPr="006557EA" w:rsidRDefault="006557EA" w:rsidP="006557EA">
      <w:pPr>
        <w:numPr>
          <w:ilvl w:val="0"/>
          <w:numId w:val="2"/>
        </w:numPr>
      </w:pPr>
      <w:r w:rsidRPr="006557EA">
        <w:t>the likelihood of confirming the allegation from reliable sources.</w:t>
      </w:r>
    </w:p>
    <w:p w14:paraId="1B470F22" w14:textId="77777777" w:rsidR="006557EA" w:rsidRPr="006557EA" w:rsidRDefault="006557EA" w:rsidP="006557EA">
      <w:pPr>
        <w:rPr>
          <w:b/>
          <w:bCs/>
        </w:rPr>
      </w:pPr>
      <w:r w:rsidRPr="006557EA">
        <w:rPr>
          <w:b/>
          <w:bCs/>
        </w:rPr>
        <w:t>Untrue Allegations</w:t>
      </w:r>
    </w:p>
    <w:p w14:paraId="101C4E91" w14:textId="77777777" w:rsidR="006557EA" w:rsidRPr="006557EA" w:rsidRDefault="006557EA" w:rsidP="006557EA">
      <w:r w:rsidRPr="006557EA">
        <w:t>4.4 If you raise a concern in good faith but it is not confirmed, no action will be taken against you. However, malicious, vexatious or knowingly false allegations may result in disciplinary action.</w:t>
      </w:r>
    </w:p>
    <w:p w14:paraId="28FEC188" w14:textId="77777777" w:rsidR="006557EA" w:rsidRPr="006557EA" w:rsidRDefault="00CE3D54" w:rsidP="006557EA">
      <w:r>
        <w:pict w14:anchorId="6106779E">
          <v:rect id="_x0000_i1028" style="width:0;height:1.5pt" o:hralign="center" o:hrstd="t" o:hr="t" fillcolor="#a0a0a0" stroked="f"/>
        </w:pict>
      </w:r>
    </w:p>
    <w:p w14:paraId="5053425E" w14:textId="77777777" w:rsidR="006557EA" w:rsidRPr="006557EA" w:rsidRDefault="006557EA" w:rsidP="006557EA">
      <w:pPr>
        <w:rPr>
          <w:b/>
          <w:bCs/>
        </w:rPr>
      </w:pPr>
      <w:r w:rsidRPr="006557EA">
        <w:rPr>
          <w:b/>
          <w:bCs/>
        </w:rPr>
        <w:t>5. How to Raise a Concern</w:t>
      </w:r>
    </w:p>
    <w:p w14:paraId="2525E053" w14:textId="77777777" w:rsidR="006557EA" w:rsidRPr="006557EA" w:rsidRDefault="006557EA" w:rsidP="006557EA">
      <w:r w:rsidRPr="006557EA">
        <w:t>5.1 Concerns should normally be raised with one of the following:</w:t>
      </w:r>
    </w:p>
    <w:p w14:paraId="391B9144" w14:textId="77777777" w:rsidR="006557EA" w:rsidRPr="006557EA" w:rsidRDefault="006557EA" w:rsidP="006557EA">
      <w:pPr>
        <w:numPr>
          <w:ilvl w:val="0"/>
          <w:numId w:val="3"/>
        </w:numPr>
      </w:pPr>
      <w:r w:rsidRPr="006557EA">
        <w:t>The Headteacher</w:t>
      </w:r>
    </w:p>
    <w:p w14:paraId="64BC892A" w14:textId="6689C271" w:rsidR="006557EA" w:rsidRPr="006557EA" w:rsidRDefault="006557EA" w:rsidP="006557EA">
      <w:pPr>
        <w:numPr>
          <w:ilvl w:val="0"/>
          <w:numId w:val="3"/>
        </w:numPr>
      </w:pPr>
      <w:r w:rsidRPr="006557EA">
        <w:t>The Chair of Governors</w:t>
      </w:r>
      <w:r>
        <w:t xml:space="preserve"> (if the concern is about the Headteacher)</w:t>
      </w:r>
    </w:p>
    <w:p w14:paraId="2FE707EB" w14:textId="361BCD90" w:rsidR="006557EA" w:rsidRPr="006557EA" w:rsidRDefault="006557EA" w:rsidP="006557EA">
      <w:r w:rsidRPr="006557EA">
        <w:t xml:space="preserve">5.2 Concerns may be raised verbally (face-to-face or phone) </w:t>
      </w:r>
      <w:r>
        <w:t xml:space="preserve">and should also be </w:t>
      </w:r>
      <w:proofErr w:type="gramStart"/>
      <w:r>
        <w:t xml:space="preserve">submitted </w:t>
      </w:r>
      <w:r w:rsidRPr="006557EA">
        <w:t xml:space="preserve"> in</w:t>
      </w:r>
      <w:proofErr w:type="gramEnd"/>
      <w:r w:rsidRPr="006557EA">
        <w:t xml:space="preserve"> writing</w:t>
      </w:r>
      <w:r>
        <w:t xml:space="preserve"> (by email or letter)</w:t>
      </w:r>
      <w:r w:rsidRPr="006557EA">
        <w:t xml:space="preserve">. Written concerns should be marked </w:t>
      </w:r>
      <w:r w:rsidRPr="006557EA">
        <w:rPr>
          <w:i/>
          <w:iCs/>
        </w:rPr>
        <w:t>“personal, private and confidential”</w:t>
      </w:r>
      <w:r w:rsidRPr="006557EA">
        <w:t>.</w:t>
      </w:r>
    </w:p>
    <w:p w14:paraId="4D279F48" w14:textId="5C37291A" w:rsidR="006557EA" w:rsidRPr="006557EA" w:rsidRDefault="006557EA" w:rsidP="006557EA">
      <w:r w:rsidRPr="006557EA">
        <w:t xml:space="preserve">5.3 The earlier you raise a concern, the easier it is to take </w:t>
      </w:r>
      <w:r>
        <w:t xml:space="preserve">effective </w:t>
      </w:r>
      <w:r w:rsidRPr="006557EA">
        <w:t>action. Please provide as much detail as possible, including:</w:t>
      </w:r>
    </w:p>
    <w:p w14:paraId="04166FFE" w14:textId="77777777" w:rsidR="006557EA" w:rsidRPr="006557EA" w:rsidRDefault="006557EA" w:rsidP="006557EA">
      <w:pPr>
        <w:numPr>
          <w:ilvl w:val="0"/>
          <w:numId w:val="4"/>
        </w:numPr>
      </w:pPr>
      <w:r w:rsidRPr="006557EA">
        <w:t xml:space="preserve">background and history of the </w:t>
      </w:r>
      <w:proofErr w:type="gramStart"/>
      <w:r w:rsidRPr="006557EA">
        <w:t>concern;</w:t>
      </w:r>
      <w:proofErr w:type="gramEnd"/>
    </w:p>
    <w:p w14:paraId="6BD306C9" w14:textId="77777777" w:rsidR="006557EA" w:rsidRPr="006557EA" w:rsidRDefault="006557EA" w:rsidP="006557EA">
      <w:pPr>
        <w:numPr>
          <w:ilvl w:val="0"/>
          <w:numId w:val="4"/>
        </w:numPr>
      </w:pPr>
      <w:r w:rsidRPr="006557EA">
        <w:t xml:space="preserve">names, dates, </w:t>
      </w:r>
      <w:proofErr w:type="gramStart"/>
      <w:r w:rsidRPr="006557EA">
        <w:t>locations;</w:t>
      </w:r>
      <w:proofErr w:type="gramEnd"/>
    </w:p>
    <w:p w14:paraId="19B850F9" w14:textId="77777777" w:rsidR="006557EA" w:rsidRPr="006557EA" w:rsidRDefault="006557EA" w:rsidP="006557EA">
      <w:pPr>
        <w:numPr>
          <w:ilvl w:val="0"/>
          <w:numId w:val="4"/>
        </w:numPr>
      </w:pPr>
      <w:r w:rsidRPr="006557EA">
        <w:lastRenderedPageBreak/>
        <w:t xml:space="preserve">why you are particularly </w:t>
      </w:r>
      <w:proofErr w:type="gramStart"/>
      <w:r w:rsidRPr="006557EA">
        <w:t>concerned;</w:t>
      </w:r>
      <w:proofErr w:type="gramEnd"/>
    </w:p>
    <w:p w14:paraId="5CD6D208" w14:textId="18161B6B" w:rsidR="006557EA" w:rsidRPr="006557EA" w:rsidRDefault="006557EA" w:rsidP="006557EA">
      <w:pPr>
        <w:numPr>
          <w:ilvl w:val="0"/>
          <w:numId w:val="4"/>
        </w:numPr>
      </w:pPr>
      <w:r w:rsidRPr="006557EA">
        <w:t>any other steps you have already taken.</w:t>
      </w:r>
    </w:p>
    <w:p w14:paraId="384459BE" w14:textId="77777777" w:rsidR="006557EA" w:rsidRPr="006557EA" w:rsidRDefault="00CE3D54" w:rsidP="006557EA">
      <w:r>
        <w:pict w14:anchorId="5027C54F">
          <v:rect id="_x0000_i1029" style="width:0;height:1.5pt" o:hralign="center" o:hrstd="t" o:hr="t" fillcolor="#a0a0a0" stroked="f"/>
        </w:pict>
      </w:r>
    </w:p>
    <w:p w14:paraId="3133A9E3" w14:textId="77777777" w:rsidR="006557EA" w:rsidRPr="006557EA" w:rsidRDefault="006557EA" w:rsidP="006557EA">
      <w:pPr>
        <w:rPr>
          <w:b/>
          <w:bCs/>
        </w:rPr>
      </w:pPr>
      <w:r w:rsidRPr="006557EA">
        <w:rPr>
          <w:b/>
          <w:bCs/>
        </w:rPr>
        <w:t>6. How the School Will Respond</w:t>
      </w:r>
    </w:p>
    <w:p w14:paraId="26093778" w14:textId="66018D9E" w:rsidR="006557EA" w:rsidRPr="006557EA" w:rsidRDefault="006557EA" w:rsidP="006557EA">
      <w:r w:rsidRPr="006557EA">
        <w:t>6.1 All concerns will be acknowledged in writing</w:t>
      </w:r>
      <w:r>
        <w:t>, ideally</w:t>
      </w:r>
      <w:r w:rsidRPr="006557EA">
        <w:t xml:space="preserve"> within </w:t>
      </w:r>
      <w:r w:rsidRPr="006557EA">
        <w:rPr>
          <w:b/>
          <w:bCs/>
        </w:rPr>
        <w:t>10 working days</w:t>
      </w:r>
      <w:r w:rsidRPr="006557EA">
        <w:t>. You will be told:</w:t>
      </w:r>
    </w:p>
    <w:p w14:paraId="4AA1AD71" w14:textId="77777777" w:rsidR="006557EA" w:rsidRPr="006557EA" w:rsidRDefault="006557EA" w:rsidP="006557EA">
      <w:pPr>
        <w:numPr>
          <w:ilvl w:val="0"/>
          <w:numId w:val="5"/>
        </w:numPr>
      </w:pPr>
      <w:r w:rsidRPr="006557EA">
        <w:t xml:space="preserve">that your concern has been </w:t>
      </w:r>
      <w:proofErr w:type="gramStart"/>
      <w:r w:rsidRPr="006557EA">
        <w:t>received;</w:t>
      </w:r>
      <w:proofErr w:type="gramEnd"/>
    </w:p>
    <w:p w14:paraId="3787A064" w14:textId="77777777" w:rsidR="006557EA" w:rsidRPr="006557EA" w:rsidRDefault="006557EA" w:rsidP="006557EA">
      <w:pPr>
        <w:numPr>
          <w:ilvl w:val="0"/>
          <w:numId w:val="5"/>
        </w:numPr>
      </w:pPr>
      <w:r w:rsidRPr="006557EA">
        <w:t xml:space="preserve">how the school intends to deal with </w:t>
      </w:r>
      <w:proofErr w:type="gramStart"/>
      <w:r w:rsidRPr="006557EA">
        <w:t>it;</w:t>
      </w:r>
      <w:proofErr w:type="gramEnd"/>
    </w:p>
    <w:p w14:paraId="6920FC16" w14:textId="77777777" w:rsidR="006557EA" w:rsidRPr="006557EA" w:rsidRDefault="006557EA" w:rsidP="006557EA">
      <w:pPr>
        <w:numPr>
          <w:ilvl w:val="0"/>
          <w:numId w:val="5"/>
        </w:numPr>
      </w:pPr>
      <w:r w:rsidRPr="006557EA">
        <w:t xml:space="preserve">an estimate of how long it will take to provide a final </w:t>
      </w:r>
      <w:proofErr w:type="gramStart"/>
      <w:r w:rsidRPr="006557EA">
        <w:t>response;</w:t>
      </w:r>
      <w:proofErr w:type="gramEnd"/>
    </w:p>
    <w:p w14:paraId="3173B714" w14:textId="77777777" w:rsidR="006557EA" w:rsidRPr="006557EA" w:rsidRDefault="006557EA" w:rsidP="006557EA">
      <w:pPr>
        <w:numPr>
          <w:ilvl w:val="0"/>
          <w:numId w:val="5"/>
        </w:numPr>
      </w:pPr>
      <w:r w:rsidRPr="006557EA">
        <w:t>whether further investigations will take place, and if not, why not.</w:t>
      </w:r>
    </w:p>
    <w:p w14:paraId="3F434100" w14:textId="77777777" w:rsidR="006557EA" w:rsidRPr="006557EA" w:rsidRDefault="006557EA" w:rsidP="006557EA">
      <w:r w:rsidRPr="006557EA">
        <w:t>6.2 Depending on the nature of the concern, it may be:</w:t>
      </w:r>
    </w:p>
    <w:p w14:paraId="12216276" w14:textId="78442F24" w:rsidR="006557EA" w:rsidRPr="006557EA" w:rsidRDefault="006557EA" w:rsidP="006557EA">
      <w:pPr>
        <w:numPr>
          <w:ilvl w:val="0"/>
          <w:numId w:val="6"/>
        </w:numPr>
      </w:pPr>
      <w:r w:rsidRPr="006557EA">
        <w:t>investigated internally by an appointed investigating officer</w:t>
      </w:r>
      <w:r>
        <w:t xml:space="preserve"> (usually the Headteacher</w:t>
      </w:r>
      <w:proofErr w:type="gramStart"/>
      <w:r>
        <w:t>)</w:t>
      </w:r>
      <w:r w:rsidRPr="006557EA">
        <w:t>;</w:t>
      </w:r>
      <w:proofErr w:type="gramEnd"/>
    </w:p>
    <w:p w14:paraId="25CB0AF5" w14:textId="77777777" w:rsidR="006557EA" w:rsidRPr="006557EA" w:rsidRDefault="006557EA" w:rsidP="006557EA">
      <w:pPr>
        <w:numPr>
          <w:ilvl w:val="0"/>
          <w:numId w:val="6"/>
        </w:numPr>
      </w:pPr>
      <w:r w:rsidRPr="006557EA">
        <w:t xml:space="preserve">referred to the </w:t>
      </w:r>
      <w:proofErr w:type="gramStart"/>
      <w:r w:rsidRPr="006557EA">
        <w:t>Police;</w:t>
      </w:r>
      <w:proofErr w:type="gramEnd"/>
    </w:p>
    <w:p w14:paraId="7970146B" w14:textId="7B9883A1" w:rsidR="006557EA" w:rsidRPr="006557EA" w:rsidRDefault="006557EA" w:rsidP="006557EA">
      <w:pPr>
        <w:numPr>
          <w:ilvl w:val="0"/>
          <w:numId w:val="6"/>
        </w:numPr>
      </w:pPr>
      <w:r w:rsidRPr="006557EA">
        <w:t xml:space="preserve">referred </w:t>
      </w:r>
      <w:r>
        <w:t>externally with advice from LADO/HR</w:t>
      </w:r>
      <w:r w:rsidRPr="006557EA">
        <w:t>.</w:t>
      </w:r>
    </w:p>
    <w:p w14:paraId="5BCC4EA5" w14:textId="77777777" w:rsidR="006557EA" w:rsidRPr="006557EA" w:rsidRDefault="006557EA" w:rsidP="006557EA">
      <w:r w:rsidRPr="006557EA">
        <w:t>6.3 Where possible, you will be informed of the outcome of the investigation, subject to legal and confidentiality constraints.</w:t>
      </w:r>
    </w:p>
    <w:p w14:paraId="704C1BC2" w14:textId="273CDF6B" w:rsidR="006557EA" w:rsidRPr="006557EA" w:rsidRDefault="00CE3D54" w:rsidP="006557EA">
      <w:r>
        <w:pict w14:anchorId="653D0D49">
          <v:rect id="_x0000_i1030" style="width:0;height:1.5pt" o:hralign="center" o:hrstd="t" o:hr="t" fillcolor="#a0a0a0" stroked="f"/>
        </w:pict>
      </w:r>
    </w:p>
    <w:p w14:paraId="32D1CAFA" w14:textId="77777777" w:rsidR="006557EA" w:rsidRPr="006557EA" w:rsidRDefault="006557EA" w:rsidP="006557EA">
      <w:pPr>
        <w:rPr>
          <w:b/>
          <w:bCs/>
        </w:rPr>
      </w:pPr>
      <w:r w:rsidRPr="006557EA">
        <w:rPr>
          <w:b/>
          <w:bCs/>
        </w:rPr>
        <w:t>8. Responsibility for the Policy</w:t>
      </w:r>
    </w:p>
    <w:p w14:paraId="3564B6DB" w14:textId="77777777" w:rsidR="006557EA" w:rsidRPr="006557EA" w:rsidRDefault="006557EA" w:rsidP="006557EA">
      <w:r w:rsidRPr="006557EA">
        <w:t>8.1 The Governing Body has overall responsibility for the maintenance and operation of this policy. The Headteacher is responsible for its day-to-day implementation.</w:t>
      </w:r>
    </w:p>
    <w:p w14:paraId="73C7C7D2" w14:textId="5CFE60FB" w:rsidR="006557EA" w:rsidRPr="006557EA" w:rsidRDefault="006557EA" w:rsidP="006557EA">
      <w:r w:rsidRPr="006557EA">
        <w:t xml:space="preserve">8.2 A confidential record of concerns </w:t>
      </w:r>
      <w:proofErr w:type="gramStart"/>
      <w:r w:rsidRPr="006557EA">
        <w:t>raised</w:t>
      </w:r>
      <w:proofErr w:type="gramEnd"/>
      <w:r w:rsidRPr="006557EA">
        <w:t xml:space="preserve"> and their outcomes will be maintained by the </w:t>
      </w:r>
      <w:r>
        <w:t>Headteacher.</w:t>
      </w:r>
    </w:p>
    <w:p w14:paraId="303E2635" w14:textId="47398953" w:rsidR="006557EA" w:rsidRPr="006557EA" w:rsidRDefault="00CE3D54" w:rsidP="006557EA">
      <w:r>
        <w:pict w14:anchorId="7233871A">
          <v:rect id="_x0000_i1031" style="width:0;height:1.5pt" o:hralign="center" o:hrstd="t" o:hr="t" fillcolor="#a0a0a0" stroked="f"/>
        </w:pict>
      </w:r>
    </w:p>
    <w:p w14:paraId="00E11CB1" w14:textId="77777777" w:rsidR="002F5F7B" w:rsidRDefault="002F5F7B"/>
    <w:sectPr w:rsidR="002F5F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FA5"/>
    <w:multiLevelType w:val="multilevel"/>
    <w:tmpl w:val="D19C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F02D6"/>
    <w:multiLevelType w:val="multilevel"/>
    <w:tmpl w:val="11C0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D3422"/>
    <w:multiLevelType w:val="multilevel"/>
    <w:tmpl w:val="70A8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82D58"/>
    <w:multiLevelType w:val="multilevel"/>
    <w:tmpl w:val="A24C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F736B"/>
    <w:multiLevelType w:val="multilevel"/>
    <w:tmpl w:val="594A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57914"/>
    <w:multiLevelType w:val="multilevel"/>
    <w:tmpl w:val="A112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A9298B"/>
    <w:multiLevelType w:val="multilevel"/>
    <w:tmpl w:val="092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429187">
    <w:abstractNumId w:val="2"/>
  </w:num>
  <w:num w:numId="2" w16cid:durableId="342585817">
    <w:abstractNumId w:val="1"/>
  </w:num>
  <w:num w:numId="3" w16cid:durableId="2050062192">
    <w:abstractNumId w:val="6"/>
  </w:num>
  <w:num w:numId="4" w16cid:durableId="544175973">
    <w:abstractNumId w:val="4"/>
  </w:num>
  <w:num w:numId="5" w16cid:durableId="1873880174">
    <w:abstractNumId w:val="3"/>
  </w:num>
  <w:num w:numId="6" w16cid:durableId="1041252145">
    <w:abstractNumId w:val="5"/>
  </w:num>
  <w:num w:numId="7" w16cid:durableId="3566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EA"/>
    <w:rsid w:val="002F5F7B"/>
    <w:rsid w:val="00584060"/>
    <w:rsid w:val="006557EA"/>
    <w:rsid w:val="00CE3D54"/>
    <w:rsid w:val="00DD55A1"/>
    <w:rsid w:val="00FE4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59A535B"/>
  <w15:chartTrackingRefBased/>
  <w15:docId w15:val="{E27C0142-08AE-4998-90A9-98A9041D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7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7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7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57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7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7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7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7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7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7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7EA"/>
    <w:rPr>
      <w:rFonts w:eastAsiaTheme="majorEastAsia" w:cstheme="majorBidi"/>
      <w:color w:val="272727" w:themeColor="text1" w:themeTint="D8"/>
    </w:rPr>
  </w:style>
  <w:style w:type="paragraph" w:styleId="Title">
    <w:name w:val="Title"/>
    <w:basedOn w:val="Normal"/>
    <w:next w:val="Normal"/>
    <w:link w:val="TitleChar"/>
    <w:uiPriority w:val="10"/>
    <w:qFormat/>
    <w:rsid w:val="00655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7EA"/>
    <w:pPr>
      <w:spacing w:before="160"/>
      <w:jc w:val="center"/>
    </w:pPr>
    <w:rPr>
      <w:i/>
      <w:iCs/>
      <w:color w:val="404040" w:themeColor="text1" w:themeTint="BF"/>
    </w:rPr>
  </w:style>
  <w:style w:type="character" w:customStyle="1" w:styleId="QuoteChar">
    <w:name w:val="Quote Char"/>
    <w:basedOn w:val="DefaultParagraphFont"/>
    <w:link w:val="Quote"/>
    <w:uiPriority w:val="29"/>
    <w:rsid w:val="006557EA"/>
    <w:rPr>
      <w:i/>
      <w:iCs/>
      <w:color w:val="404040" w:themeColor="text1" w:themeTint="BF"/>
    </w:rPr>
  </w:style>
  <w:style w:type="paragraph" w:styleId="ListParagraph">
    <w:name w:val="List Paragraph"/>
    <w:basedOn w:val="Normal"/>
    <w:uiPriority w:val="34"/>
    <w:qFormat/>
    <w:rsid w:val="006557EA"/>
    <w:pPr>
      <w:ind w:left="720"/>
      <w:contextualSpacing/>
    </w:pPr>
  </w:style>
  <w:style w:type="character" w:styleId="IntenseEmphasis">
    <w:name w:val="Intense Emphasis"/>
    <w:basedOn w:val="DefaultParagraphFont"/>
    <w:uiPriority w:val="21"/>
    <w:qFormat/>
    <w:rsid w:val="006557EA"/>
    <w:rPr>
      <w:i/>
      <w:iCs/>
      <w:color w:val="2F5496" w:themeColor="accent1" w:themeShade="BF"/>
    </w:rPr>
  </w:style>
  <w:style w:type="paragraph" w:styleId="IntenseQuote">
    <w:name w:val="Intense Quote"/>
    <w:basedOn w:val="Normal"/>
    <w:next w:val="Normal"/>
    <w:link w:val="IntenseQuoteChar"/>
    <w:uiPriority w:val="30"/>
    <w:qFormat/>
    <w:rsid w:val="00655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7EA"/>
    <w:rPr>
      <w:i/>
      <w:iCs/>
      <w:color w:val="2F5496" w:themeColor="accent1" w:themeShade="BF"/>
    </w:rPr>
  </w:style>
  <w:style w:type="character" w:styleId="IntenseReference">
    <w:name w:val="Intense Reference"/>
    <w:basedOn w:val="DefaultParagraphFont"/>
    <w:uiPriority w:val="32"/>
    <w:qFormat/>
    <w:rsid w:val="006557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Shocklach Oviatt Primary Head</dc:creator>
  <cp:keywords/>
  <dc:description/>
  <cp:lastModifiedBy>Shocklach Oviatt Primary Admin</cp:lastModifiedBy>
  <cp:revision>2</cp:revision>
  <dcterms:created xsi:type="dcterms:W3CDTF">2026-01-27T13:26:00Z</dcterms:created>
  <dcterms:modified xsi:type="dcterms:W3CDTF">2026-01-27T13:26:00Z</dcterms:modified>
</cp:coreProperties>
</file>